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DD4A14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</w:t>
      </w:r>
      <w:r w:rsidR="00EC0B9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январе-</w:t>
      </w:r>
      <w:r w:rsidR="00801E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марте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801E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="00C81DF5" w:rsidRP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F7180F">
        <w:rPr>
          <w:rFonts w:ascii="Times New Roman" w:hAnsi="Times New Roman" w:cs="Times New Roman"/>
          <w:sz w:val="30"/>
          <w:szCs w:val="30"/>
        </w:rPr>
        <w:t>12 320,8</w:t>
      </w:r>
      <w:r w:rsidR="007468CD" w:rsidRPr="00E37878">
        <w:rPr>
          <w:sz w:val="30"/>
          <w:szCs w:val="30"/>
        </w:rPr>
        <w:t xml:space="preserve"> 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="00C81DF5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F7180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102,5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C81DF5"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124E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уточненно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годово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план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591036"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F71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F71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F7180F" w:rsidRPr="00B757BA" w:rsidTr="00591036">
        <w:trPr>
          <w:trHeight w:val="423"/>
        </w:trPr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sz w:val="26"/>
                <w:szCs w:val="26"/>
              </w:rPr>
              <w:t>4 255,8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 w:rsidR="007362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FA4FF1" w:rsidRDefault="00F718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105,9</w:t>
            </w: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80F" w:rsidRPr="00B757BA" w:rsidTr="00591036">
        <w:trPr>
          <w:trHeight w:val="419"/>
        </w:trPr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sz w:val="26"/>
                <w:szCs w:val="26"/>
              </w:rPr>
              <w:t>595,1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FA4FF1" w:rsidRDefault="00F718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114,7</w:t>
            </w:r>
          </w:p>
        </w:tc>
      </w:tr>
      <w:tr w:rsidR="00F7180F" w:rsidRPr="00B757BA" w:rsidTr="00591036"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sz w:val="26"/>
                <w:szCs w:val="26"/>
              </w:rPr>
              <w:t>7 469,9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sz w:val="26"/>
                <w:szCs w:val="26"/>
              </w:rPr>
              <w:t>60,6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9800B1" w:rsidRDefault="00F718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80F" w:rsidRPr="00B757BA" w:rsidTr="00591036">
        <w:trPr>
          <w:trHeight w:val="400"/>
        </w:trPr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b/>
                <w:sz w:val="26"/>
                <w:szCs w:val="26"/>
              </w:rPr>
              <w:t>12 320,8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9800B1" w:rsidRDefault="00F718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102,5</w:t>
            </w:r>
            <w:r w:rsidRPr="003233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F7180F" w:rsidRPr="00F7180F" w:rsidRDefault="00F7180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7180F">
        <w:rPr>
          <w:rFonts w:ascii="Times New Roman" w:hAnsi="Times New Roman" w:cs="Times New Roman"/>
          <w:bCs/>
          <w:sz w:val="30"/>
          <w:szCs w:val="30"/>
        </w:rPr>
        <w:t xml:space="preserve">Уровень </w:t>
      </w:r>
      <w:proofErr w:type="spellStart"/>
      <w:r w:rsidRPr="00F7180F">
        <w:rPr>
          <w:rFonts w:ascii="Times New Roman" w:hAnsi="Times New Roman" w:cs="Times New Roman"/>
          <w:bCs/>
          <w:sz w:val="30"/>
          <w:szCs w:val="30"/>
        </w:rPr>
        <w:t>дотационности</w:t>
      </w:r>
      <w:proofErr w:type="spellEnd"/>
      <w:r w:rsidRPr="00F7180F">
        <w:rPr>
          <w:rFonts w:ascii="Times New Roman" w:hAnsi="Times New Roman" w:cs="Times New Roman"/>
          <w:bCs/>
          <w:sz w:val="30"/>
          <w:szCs w:val="30"/>
        </w:rPr>
        <w:t xml:space="preserve"> бюджета </w:t>
      </w:r>
      <w:r w:rsidRPr="00F7180F">
        <w:rPr>
          <w:rFonts w:ascii="Times New Roman" w:eastAsia="Calibri" w:hAnsi="Times New Roman" w:cs="Times New Roman"/>
          <w:sz w:val="30"/>
          <w:szCs w:val="30"/>
        </w:rPr>
        <w:t>за отчетный период составил</w:t>
      </w:r>
      <w:r w:rsidRPr="00F7180F">
        <w:rPr>
          <w:rFonts w:ascii="Times New Roman" w:hAnsi="Times New Roman" w:cs="Times New Roman"/>
          <w:bCs/>
          <w:sz w:val="30"/>
          <w:szCs w:val="30"/>
        </w:rPr>
        <w:t xml:space="preserve"> 63,4% к объему расходов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C81DF5" w:rsidRPr="002629F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05392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87,7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  <w:r w:rsidR="002629FA" w:rsidRP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Удельный вес неналоговых доходов составляет </w:t>
      </w:r>
      <w:r w:rsidR="008D33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12,3</w:t>
      </w:r>
      <w:r w:rsid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36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736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736295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6295" w:rsidRPr="00691F47" w:rsidRDefault="00736295" w:rsidP="007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736295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73629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4 850,9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736295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u w:val="single"/>
              </w:rPr>
            </w:pPr>
            <w:r w:rsidRPr="0073629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100</w:t>
            </w:r>
          </w:p>
        </w:tc>
      </w:tr>
      <w:tr w:rsidR="00736295" w:rsidRPr="00B757BA" w:rsidTr="00591036">
        <w:trPr>
          <w:trHeight w:val="325"/>
        </w:trPr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6295" w:rsidRPr="00B757BA" w:rsidRDefault="00736295" w:rsidP="007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736295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2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4 255,8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736295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62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87,7</w:t>
            </w:r>
          </w:p>
        </w:tc>
      </w:tr>
      <w:tr w:rsidR="00572267" w:rsidRPr="00B757BA" w:rsidTr="00591036">
        <w:trPr>
          <w:trHeight w:val="335"/>
        </w:trPr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2267" w:rsidRPr="00B757BA" w:rsidRDefault="00572267" w:rsidP="00F16C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267" w:rsidRPr="00572267" w:rsidRDefault="00572267" w:rsidP="005722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267" w:rsidRPr="00572267" w:rsidRDefault="00572267" w:rsidP="005722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2 178,7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44,9</w:t>
            </w: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1 021,5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21,1</w:t>
            </w: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369,2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7,6</w:t>
            </w: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595,1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12,3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92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283ED3">
        <w:rPr>
          <w:rFonts w:ascii="Times New Roman" w:eastAsia="Times New Roman" w:hAnsi="Times New Roman" w:cs="Times New Roman"/>
          <w:sz w:val="30"/>
          <w:szCs w:val="30"/>
          <w:lang w:eastAsia="ru-RU"/>
        </w:rPr>
        <w:t>11 325,1</w:t>
      </w:r>
      <w:r w:rsidR="00E42A3B" w:rsidRPr="00E42A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283E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85,9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p w:rsidR="00C24895" w:rsidRDefault="00C2489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591036">
        <w:trPr>
          <w:trHeight w:val="990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Направлено за </w:t>
            </w:r>
            <w:r w:rsidR="00283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квартал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283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573A6" w:rsidRPr="00B757BA" w:rsidTr="00591036">
        <w:trPr>
          <w:trHeight w:val="399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B757BA" w:rsidRDefault="00C573A6" w:rsidP="00C573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F74983" w:rsidRDefault="00283ED3" w:rsidP="00C57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11 325,1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F74983" w:rsidRDefault="00C573A6" w:rsidP="00C57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</w:pPr>
            <w:r w:rsidRPr="00F7498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100</w:t>
            </w:r>
            <w:r w:rsidRPr="00F7498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,0</w:t>
            </w:r>
          </w:p>
        </w:tc>
      </w:tr>
      <w:tr w:rsidR="00C573A6" w:rsidRPr="00C573A6" w:rsidTr="00591036">
        <w:trPr>
          <w:trHeight w:val="409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C573A6" w:rsidRDefault="00C573A6" w:rsidP="00C573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3A6" w:rsidRPr="00C573A6" w:rsidRDefault="00C573A6" w:rsidP="00C57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3A6" w:rsidRPr="00C573A6" w:rsidRDefault="00C573A6" w:rsidP="00C57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83ED3" w:rsidRPr="00C573A6" w:rsidTr="00591036">
        <w:trPr>
          <w:trHeight w:val="264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8 505,5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75,1</w:t>
            </w:r>
          </w:p>
        </w:tc>
      </w:tr>
      <w:tr w:rsidR="00283ED3" w:rsidRPr="00C573A6" w:rsidTr="00591036">
        <w:trPr>
          <w:trHeight w:val="259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949,8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8,4</w:t>
            </w:r>
          </w:p>
        </w:tc>
      </w:tr>
      <w:tr w:rsidR="00283ED3" w:rsidRPr="00C573A6" w:rsidTr="00591036">
        <w:trPr>
          <w:trHeight w:val="257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286,7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2,5</w:t>
            </w:r>
          </w:p>
        </w:tc>
      </w:tr>
      <w:tr w:rsidR="00283ED3" w:rsidRPr="00C573A6" w:rsidTr="00591036">
        <w:trPr>
          <w:trHeight w:val="254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Calibri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1 582,8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14,0</w:t>
            </w:r>
          </w:p>
        </w:tc>
      </w:tr>
      <w:tr w:rsidR="00283ED3" w:rsidRPr="00C573A6" w:rsidTr="00591036">
        <w:trPr>
          <w:trHeight w:val="236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D80C8A" w:rsidRPr="00C573A6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406C0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10 083,5</w:t>
      </w:r>
      <w:r w:rsidR="00C22814" w:rsidRPr="00C228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406C0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89,0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p w:rsidR="00D80C8A" w:rsidRPr="00EC5A2C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591036">
        <w:trPr>
          <w:trHeight w:val="885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91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591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591036" w:rsidRPr="00B757BA" w:rsidTr="00591036">
        <w:trPr>
          <w:trHeight w:val="507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591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11 325,1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591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100,0</w:t>
            </w:r>
          </w:p>
        </w:tc>
      </w:tr>
      <w:tr w:rsidR="00591036" w:rsidRPr="00B757BA" w:rsidTr="00591036">
        <w:trPr>
          <w:trHeight w:val="219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10 083,5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89,0</w:t>
            </w:r>
          </w:p>
        </w:tc>
      </w:tr>
      <w:tr w:rsidR="00DD0F5C" w:rsidRPr="00B757BA" w:rsidTr="00591036">
        <w:trPr>
          <w:trHeight w:val="230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591036" w:rsidRPr="00B757BA" w:rsidTr="00591036">
        <w:trPr>
          <w:trHeight w:val="310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7 322,5</w:t>
            </w:r>
          </w:p>
        </w:tc>
        <w:tc>
          <w:tcPr>
            <w:tcW w:w="16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64,6</w:t>
            </w:r>
          </w:p>
        </w:tc>
      </w:tr>
      <w:tr w:rsidR="00591036" w:rsidRPr="00B757BA" w:rsidTr="00591036">
        <w:trPr>
          <w:trHeight w:val="489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168,4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1,5</w:t>
            </w:r>
          </w:p>
        </w:tc>
      </w:tr>
      <w:tr w:rsidR="00591036" w:rsidRPr="00B757BA" w:rsidTr="00591036">
        <w:trPr>
          <w:trHeight w:val="264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286,9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2,5</w:t>
            </w:r>
          </w:p>
        </w:tc>
      </w:tr>
      <w:tr w:rsidR="00591036" w:rsidRPr="00B757BA" w:rsidTr="00591036">
        <w:trPr>
          <w:trHeight w:val="327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1 529,2</w:t>
            </w:r>
          </w:p>
        </w:tc>
        <w:tc>
          <w:tcPr>
            <w:tcW w:w="16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13,5</w:t>
            </w:r>
          </w:p>
        </w:tc>
      </w:tr>
      <w:tr w:rsidR="00591036" w:rsidRPr="00B757BA" w:rsidTr="00591036">
        <w:trPr>
          <w:trHeight w:val="289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6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3,5</w:t>
            </w:r>
          </w:p>
        </w:tc>
      </w:tr>
      <w:tr w:rsidR="00591036" w:rsidRPr="00B757BA" w:rsidTr="00591036">
        <w:trPr>
          <w:trHeight w:val="618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771C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C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86,4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0,8</w:t>
            </w:r>
          </w:p>
        </w:tc>
      </w:tr>
    </w:tbl>
    <w:p w:rsidR="00D80C8A" w:rsidRPr="009308BB" w:rsidRDefault="00D80C8A" w:rsidP="00930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406C00" w:rsidRPr="00406C00" w:rsidRDefault="00406C00" w:rsidP="00EB2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0" w:name="_Hlk131672857"/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финансирование 15 государственных программ направлено </w:t>
      </w:r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br/>
        <w:t>10</w:t>
      </w:r>
      <w:r w:rsidRPr="00406C00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 </w:t>
      </w:r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t>132,5 тыс. рублей или 88,9 % к общим расходам бюджета. Наибольший удельный вес в общей сумме программных расходов занимают:</w:t>
      </w:r>
    </w:p>
    <w:p w:rsidR="00406C00" w:rsidRPr="00406C00" w:rsidRDefault="00406C00" w:rsidP="00EB2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«Образование и молодежная политика» на 2021-2025 годы – 43,9 % или 4 446,6 тыс. рублей;</w:t>
      </w:r>
    </w:p>
    <w:p w:rsidR="00406C00" w:rsidRPr="00406C00" w:rsidRDefault="00406C00" w:rsidP="00EB2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25,2 % или 2 549,9 тыс. рублей;</w:t>
      </w:r>
    </w:p>
    <w:p w:rsidR="00406C00" w:rsidRPr="00406C00" w:rsidRDefault="00406C00" w:rsidP="00EB2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«Социальная защита» на 2021-2025 годы – 7,9 % или 804,3 тыс. рублей;</w:t>
      </w:r>
    </w:p>
    <w:p w:rsidR="00406C00" w:rsidRPr="00406C00" w:rsidRDefault="00406C00" w:rsidP="00EB2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1" w:name="_Hlk155961838"/>
      <w:r w:rsidRPr="00406C00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«Комфортное жилье и благоприятная среда» на 2021-2025 годы – 7,6 % или 765,8 тыс. рублей.</w:t>
      </w:r>
    </w:p>
    <w:bookmarkEnd w:id="0"/>
    <w:bookmarkEnd w:id="1"/>
    <w:p w:rsidR="00CE53D2" w:rsidRDefault="00CE53D2" w:rsidP="00CE5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EB244B" w:rsidRPr="00EB244B" w:rsidRDefault="00EB244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По состоянию на 0</w:t>
      </w:r>
      <w:bookmarkStart w:id="2" w:name="_GoBack"/>
      <w:bookmarkEnd w:id="2"/>
      <w:r w:rsidRPr="00EB244B">
        <w:rPr>
          <w:rFonts w:ascii="Times New Roman" w:hAnsi="Times New Roman" w:cs="Times New Roman"/>
          <w:sz w:val="30"/>
          <w:szCs w:val="30"/>
        </w:rPr>
        <w:t xml:space="preserve">1.04.2025 совокупный размер долговых обязательств </w:t>
      </w:r>
      <w:proofErr w:type="spellStart"/>
      <w:r w:rsidRPr="00EB244B"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 w:rsidRPr="00EB244B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и райисполкома составил 2 396,9 тыс. рублей, при лимите, утвержденном Могилевским областным исполнительным комитетом в сумме 2 312,8 тыс. рублей на конец 2025 года, в том числе:</w:t>
      </w:r>
    </w:p>
    <w:p w:rsidR="00EB244B" w:rsidRPr="00EB244B" w:rsidRDefault="00EB244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прямой долг отсутствует;</w:t>
      </w:r>
    </w:p>
    <w:p w:rsidR="00EB244B" w:rsidRPr="00EB244B" w:rsidRDefault="00EB244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гарантированный долг – 2 396,9 тыс. рублей, в том числе по кредитам, полученным сельскохозяйственными предприятиями под гарантии райисполкома:</w:t>
      </w:r>
    </w:p>
    <w:p w:rsidR="00EB244B" w:rsidRPr="00EB244B" w:rsidRDefault="00EB244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 xml:space="preserve">на строительство жилья на селе – 1 583,2 тыс. рублей; </w:t>
      </w:r>
    </w:p>
    <w:p w:rsidR="00EB244B" w:rsidRPr="00EB244B" w:rsidRDefault="00EB244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на завершение в 2015 году строительства, включая реконструкцию, объектов в рамках государственных программ – 813,7 тыс. рублей.</w:t>
      </w:r>
    </w:p>
    <w:p w:rsidR="00EB244B" w:rsidRPr="00EB244B" w:rsidRDefault="00EB244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В отчетном периоде райисполкомом гарантии по кредитам банков субъектам хозяйствования не выдавались.</w:t>
      </w:r>
    </w:p>
    <w:p w:rsidR="00EB244B" w:rsidRPr="00EB244B" w:rsidRDefault="00EB244B" w:rsidP="00EB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 xml:space="preserve">За отчетный период взыскано просроченной задолженности по исполненным гарантиям в сумме 3,0 тыс. рублей. По состоянию на 01.04.2025 года задолженность отсутствует. </w:t>
      </w:r>
    </w:p>
    <w:p w:rsidR="00EB244B" w:rsidRPr="00EB244B" w:rsidRDefault="00EB244B" w:rsidP="00EB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93153960"/>
      <w:bookmarkStart w:id="4" w:name="_Hlk76998234"/>
      <w:r w:rsidRPr="00EB244B">
        <w:rPr>
          <w:rFonts w:ascii="Times New Roman" w:hAnsi="Times New Roman" w:cs="Times New Roman"/>
          <w:sz w:val="30"/>
          <w:szCs w:val="30"/>
        </w:rPr>
        <w:lastRenderedPageBreak/>
        <w:t>За 1 квартал 2025 года общая задолженность сельскохозяйственных предприятий перед районным бюджетом по ранее выданным бюджетным ссудам уменьшилась по сравнению соответствующим периодом 2024 года на 1 966,1 тыс. рублей и составила по состоянию на 01.04.2025 года - 1 391,3 тыс. рублей, из нее на просроченную задолженность приходится 41,6% или 579,0 тыс. рублей, в том числе основной долг – 294,6 тыс. рублей, пеня за несвоевременный возврат бюджетных ссуд – 284,4 тыс. рублей.</w:t>
      </w:r>
    </w:p>
    <w:p w:rsidR="00EB244B" w:rsidRPr="00EB244B" w:rsidRDefault="00EB244B" w:rsidP="00EB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Просроченную задолженность имеет</w:t>
      </w:r>
      <w:bookmarkEnd w:id="4"/>
      <w:r w:rsidRPr="00EB244B">
        <w:rPr>
          <w:rFonts w:ascii="Times New Roman" w:hAnsi="Times New Roman" w:cs="Times New Roman"/>
          <w:sz w:val="30"/>
          <w:szCs w:val="30"/>
        </w:rPr>
        <w:t xml:space="preserve"> ОАО «</w:t>
      </w:r>
      <w:proofErr w:type="spellStart"/>
      <w:r w:rsidRPr="00EB244B">
        <w:rPr>
          <w:rFonts w:ascii="Times New Roman" w:hAnsi="Times New Roman" w:cs="Times New Roman"/>
          <w:sz w:val="30"/>
          <w:szCs w:val="30"/>
        </w:rPr>
        <w:t>Колбча</w:t>
      </w:r>
      <w:proofErr w:type="spellEnd"/>
      <w:r w:rsidRPr="00EB244B">
        <w:rPr>
          <w:rFonts w:ascii="Times New Roman" w:hAnsi="Times New Roman" w:cs="Times New Roman"/>
          <w:sz w:val="30"/>
          <w:szCs w:val="30"/>
        </w:rPr>
        <w:t>-Агро».</w:t>
      </w:r>
    </w:p>
    <w:bookmarkEnd w:id="3"/>
    <w:p w:rsidR="00EB244B" w:rsidRPr="00EB244B" w:rsidRDefault="00EB244B" w:rsidP="00EB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244B">
        <w:rPr>
          <w:rFonts w:ascii="Times New Roman" w:hAnsi="Times New Roman" w:cs="Times New Roman"/>
          <w:sz w:val="30"/>
          <w:szCs w:val="30"/>
        </w:rPr>
        <w:t>За отчетный период взыскано просроченной задолженности в районный бюджет – 23,4 тыс. рублей.</w:t>
      </w:r>
    </w:p>
    <w:p w:rsidR="00EF3D6B" w:rsidRPr="00766388" w:rsidRDefault="00EF3D6B" w:rsidP="00EB24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EF3D6B" w:rsidRPr="0076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3929"/>
    <w:rsid w:val="000569DC"/>
    <w:rsid w:val="0006096C"/>
    <w:rsid w:val="00087B45"/>
    <w:rsid w:val="000A3021"/>
    <w:rsid w:val="000D0837"/>
    <w:rsid w:val="000D4C86"/>
    <w:rsid w:val="000E68C2"/>
    <w:rsid w:val="000F7716"/>
    <w:rsid w:val="0010025B"/>
    <w:rsid w:val="00103A78"/>
    <w:rsid w:val="001225C7"/>
    <w:rsid w:val="00124E2F"/>
    <w:rsid w:val="00126C5E"/>
    <w:rsid w:val="00160AA7"/>
    <w:rsid w:val="0016683E"/>
    <w:rsid w:val="00175DE4"/>
    <w:rsid w:val="00185C91"/>
    <w:rsid w:val="00194CAD"/>
    <w:rsid w:val="001C6ABC"/>
    <w:rsid w:val="001D4598"/>
    <w:rsid w:val="001E1B5A"/>
    <w:rsid w:val="001E55A4"/>
    <w:rsid w:val="001E5683"/>
    <w:rsid w:val="001F16C3"/>
    <w:rsid w:val="001F1B86"/>
    <w:rsid w:val="002001E8"/>
    <w:rsid w:val="002028A3"/>
    <w:rsid w:val="00203995"/>
    <w:rsid w:val="0020741C"/>
    <w:rsid w:val="00251470"/>
    <w:rsid w:val="002629FA"/>
    <w:rsid w:val="00275460"/>
    <w:rsid w:val="00283ED3"/>
    <w:rsid w:val="0028595A"/>
    <w:rsid w:val="002A3E1C"/>
    <w:rsid w:val="002C1DDF"/>
    <w:rsid w:val="002C2416"/>
    <w:rsid w:val="002C2ADE"/>
    <w:rsid w:val="002F462C"/>
    <w:rsid w:val="00305258"/>
    <w:rsid w:val="0031661A"/>
    <w:rsid w:val="003227DB"/>
    <w:rsid w:val="0032334C"/>
    <w:rsid w:val="00327774"/>
    <w:rsid w:val="00361E01"/>
    <w:rsid w:val="00384545"/>
    <w:rsid w:val="003979EB"/>
    <w:rsid w:val="003A1BA9"/>
    <w:rsid w:val="003B066D"/>
    <w:rsid w:val="003B3F60"/>
    <w:rsid w:val="003B4C20"/>
    <w:rsid w:val="003C2E00"/>
    <w:rsid w:val="003C412F"/>
    <w:rsid w:val="003C6964"/>
    <w:rsid w:val="003E5A1A"/>
    <w:rsid w:val="003E6DFE"/>
    <w:rsid w:val="003F6D1D"/>
    <w:rsid w:val="00406C00"/>
    <w:rsid w:val="0042659D"/>
    <w:rsid w:val="0043726C"/>
    <w:rsid w:val="00491042"/>
    <w:rsid w:val="00493A2D"/>
    <w:rsid w:val="00496F46"/>
    <w:rsid w:val="004A2B99"/>
    <w:rsid w:val="004B7FAC"/>
    <w:rsid w:val="004D1968"/>
    <w:rsid w:val="004F541A"/>
    <w:rsid w:val="0052618A"/>
    <w:rsid w:val="005265CB"/>
    <w:rsid w:val="00532C9E"/>
    <w:rsid w:val="005618CC"/>
    <w:rsid w:val="00572267"/>
    <w:rsid w:val="00591036"/>
    <w:rsid w:val="005A6937"/>
    <w:rsid w:val="005B4EBC"/>
    <w:rsid w:val="005E71E1"/>
    <w:rsid w:val="005F2A71"/>
    <w:rsid w:val="00600DA2"/>
    <w:rsid w:val="006041CC"/>
    <w:rsid w:val="00621851"/>
    <w:rsid w:val="00631981"/>
    <w:rsid w:val="00633992"/>
    <w:rsid w:val="00647FAC"/>
    <w:rsid w:val="006572B5"/>
    <w:rsid w:val="00660FD1"/>
    <w:rsid w:val="00667DCA"/>
    <w:rsid w:val="00681AFB"/>
    <w:rsid w:val="00691F47"/>
    <w:rsid w:val="00692108"/>
    <w:rsid w:val="006C1968"/>
    <w:rsid w:val="006C1AB4"/>
    <w:rsid w:val="006D21C5"/>
    <w:rsid w:val="006E6C40"/>
    <w:rsid w:val="00707A23"/>
    <w:rsid w:val="00717636"/>
    <w:rsid w:val="00720199"/>
    <w:rsid w:val="007243C2"/>
    <w:rsid w:val="00724920"/>
    <w:rsid w:val="00736295"/>
    <w:rsid w:val="007468CD"/>
    <w:rsid w:val="007505F6"/>
    <w:rsid w:val="007510B8"/>
    <w:rsid w:val="00764F2C"/>
    <w:rsid w:val="00766388"/>
    <w:rsid w:val="00771CBA"/>
    <w:rsid w:val="00785556"/>
    <w:rsid w:val="00795DA2"/>
    <w:rsid w:val="00795DCD"/>
    <w:rsid w:val="007A2411"/>
    <w:rsid w:val="007A4DAF"/>
    <w:rsid w:val="007C0201"/>
    <w:rsid w:val="007F167F"/>
    <w:rsid w:val="007F388A"/>
    <w:rsid w:val="00800F6D"/>
    <w:rsid w:val="00801EDF"/>
    <w:rsid w:val="008133FA"/>
    <w:rsid w:val="00832156"/>
    <w:rsid w:val="00836459"/>
    <w:rsid w:val="0084403C"/>
    <w:rsid w:val="0084545D"/>
    <w:rsid w:val="00846333"/>
    <w:rsid w:val="008528FC"/>
    <w:rsid w:val="008624E0"/>
    <w:rsid w:val="00864BAA"/>
    <w:rsid w:val="0086674E"/>
    <w:rsid w:val="00887DC7"/>
    <w:rsid w:val="008918F5"/>
    <w:rsid w:val="00895D3E"/>
    <w:rsid w:val="008961AD"/>
    <w:rsid w:val="008C3A4E"/>
    <w:rsid w:val="008D33F7"/>
    <w:rsid w:val="008D626A"/>
    <w:rsid w:val="008F1B1B"/>
    <w:rsid w:val="00915368"/>
    <w:rsid w:val="009172DB"/>
    <w:rsid w:val="0092102F"/>
    <w:rsid w:val="009308BB"/>
    <w:rsid w:val="00951BD9"/>
    <w:rsid w:val="00956A45"/>
    <w:rsid w:val="00960B7B"/>
    <w:rsid w:val="00977E4A"/>
    <w:rsid w:val="009800B1"/>
    <w:rsid w:val="00982A82"/>
    <w:rsid w:val="00994C61"/>
    <w:rsid w:val="009A3D6F"/>
    <w:rsid w:val="009B705A"/>
    <w:rsid w:val="009F7B4E"/>
    <w:rsid w:val="00A30BD7"/>
    <w:rsid w:val="00A32733"/>
    <w:rsid w:val="00A34919"/>
    <w:rsid w:val="00A627D8"/>
    <w:rsid w:val="00A72497"/>
    <w:rsid w:val="00A809E3"/>
    <w:rsid w:val="00A81C3B"/>
    <w:rsid w:val="00A929EA"/>
    <w:rsid w:val="00AA33C8"/>
    <w:rsid w:val="00AA79D7"/>
    <w:rsid w:val="00AB38C2"/>
    <w:rsid w:val="00AB744E"/>
    <w:rsid w:val="00AC36A6"/>
    <w:rsid w:val="00AF2577"/>
    <w:rsid w:val="00AF41CD"/>
    <w:rsid w:val="00AF6676"/>
    <w:rsid w:val="00AF7681"/>
    <w:rsid w:val="00B04C65"/>
    <w:rsid w:val="00B10215"/>
    <w:rsid w:val="00B246ED"/>
    <w:rsid w:val="00B45C11"/>
    <w:rsid w:val="00B46560"/>
    <w:rsid w:val="00B55E8B"/>
    <w:rsid w:val="00B757BA"/>
    <w:rsid w:val="00B86878"/>
    <w:rsid w:val="00BB6B6B"/>
    <w:rsid w:val="00C17A66"/>
    <w:rsid w:val="00C22814"/>
    <w:rsid w:val="00C24895"/>
    <w:rsid w:val="00C5531A"/>
    <w:rsid w:val="00C573A6"/>
    <w:rsid w:val="00C57C5B"/>
    <w:rsid w:val="00C65D21"/>
    <w:rsid w:val="00C81DF5"/>
    <w:rsid w:val="00C929DA"/>
    <w:rsid w:val="00CA3CB2"/>
    <w:rsid w:val="00CA59B4"/>
    <w:rsid w:val="00CC37CD"/>
    <w:rsid w:val="00CE4ADF"/>
    <w:rsid w:val="00CE53D2"/>
    <w:rsid w:val="00D0655B"/>
    <w:rsid w:val="00D449E6"/>
    <w:rsid w:val="00D6004D"/>
    <w:rsid w:val="00D72DEB"/>
    <w:rsid w:val="00D730ED"/>
    <w:rsid w:val="00D80C8A"/>
    <w:rsid w:val="00D8430C"/>
    <w:rsid w:val="00D927AE"/>
    <w:rsid w:val="00D94138"/>
    <w:rsid w:val="00DB21C6"/>
    <w:rsid w:val="00DB79B7"/>
    <w:rsid w:val="00DC1C34"/>
    <w:rsid w:val="00DD0F5C"/>
    <w:rsid w:val="00DD4A14"/>
    <w:rsid w:val="00DE6DE4"/>
    <w:rsid w:val="00E418AA"/>
    <w:rsid w:val="00E426D3"/>
    <w:rsid w:val="00E42A3B"/>
    <w:rsid w:val="00E46F69"/>
    <w:rsid w:val="00E5329A"/>
    <w:rsid w:val="00E61C20"/>
    <w:rsid w:val="00E6220C"/>
    <w:rsid w:val="00E66E3B"/>
    <w:rsid w:val="00E67044"/>
    <w:rsid w:val="00E72F4D"/>
    <w:rsid w:val="00E816D5"/>
    <w:rsid w:val="00E87222"/>
    <w:rsid w:val="00EA60E8"/>
    <w:rsid w:val="00EB2214"/>
    <w:rsid w:val="00EB244B"/>
    <w:rsid w:val="00EB4C25"/>
    <w:rsid w:val="00EC0B9F"/>
    <w:rsid w:val="00EC447F"/>
    <w:rsid w:val="00EC5A2C"/>
    <w:rsid w:val="00EE794A"/>
    <w:rsid w:val="00EF3D6B"/>
    <w:rsid w:val="00F16C01"/>
    <w:rsid w:val="00F16CF2"/>
    <w:rsid w:val="00F3211F"/>
    <w:rsid w:val="00F55978"/>
    <w:rsid w:val="00F7180F"/>
    <w:rsid w:val="00F7242F"/>
    <w:rsid w:val="00F7353E"/>
    <w:rsid w:val="00F74983"/>
    <w:rsid w:val="00F81815"/>
    <w:rsid w:val="00F83C64"/>
    <w:rsid w:val="00F85B97"/>
    <w:rsid w:val="00F93789"/>
    <w:rsid w:val="00F956D1"/>
    <w:rsid w:val="00FA4FF1"/>
    <w:rsid w:val="00FA732F"/>
    <w:rsid w:val="00FB033D"/>
    <w:rsid w:val="00FB5883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E56E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A55D-F410-44AA-AA2A-0218AB44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Михолап Наталия Михайловна</cp:lastModifiedBy>
  <cp:revision>8</cp:revision>
  <dcterms:created xsi:type="dcterms:W3CDTF">2025-04-18T13:02:00Z</dcterms:created>
  <dcterms:modified xsi:type="dcterms:W3CDTF">2025-04-18T13:35:00Z</dcterms:modified>
</cp:coreProperties>
</file>