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3C35" w:rsidRPr="00F13C35" w:rsidRDefault="00F13C35" w:rsidP="00F13C35">
      <w:pPr>
        <w:pBdr>
          <w:bottom w:val="single" w:sz="12" w:space="0" w:color="EBEBEB"/>
        </w:pBdr>
        <w:shd w:val="clear" w:color="auto" w:fill="FAFAFA"/>
        <w:spacing w:after="100" w:afterAutospacing="1" w:line="240" w:lineRule="auto"/>
        <w:outlineLvl w:val="1"/>
        <w:rPr>
          <w:rFonts w:ascii="Arial" w:eastAsia="Times New Roman" w:hAnsi="Arial" w:cs="Arial"/>
          <w:b/>
          <w:bCs/>
          <w:color w:val="1A1A1A"/>
          <w:sz w:val="60"/>
          <w:szCs w:val="60"/>
          <w:lang w:val="ru-BY" w:eastAsia="ru-BY"/>
        </w:rPr>
      </w:pPr>
      <w:r w:rsidRPr="00F13C35">
        <w:rPr>
          <w:rFonts w:ascii="Arial" w:eastAsia="Times New Roman" w:hAnsi="Arial" w:cs="Arial"/>
          <w:b/>
          <w:bCs/>
          <w:color w:val="1A1A1A"/>
          <w:sz w:val="60"/>
          <w:szCs w:val="60"/>
          <w:lang w:val="ru-BY" w:eastAsia="ru-BY"/>
        </w:rPr>
        <w:t>О порядке оборота маркированных товаров и (или) подлежащих прослеживаемости, в том числе их реализации конечному потребителю, в условиях действия обстоятельств непреодолимой силы</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В целях обеспечения оборота товаров, подлежащих маркировке и (или) прослеживаемости, в том числе возможности их реализации конечным потребителям в условиях действия обстоятельств непреодолимой силы Министерство по налогам и сборам Республики Беларусь письмом от 27.12.2024 № 8-2-13/06919 сообщило следующее.</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b/>
          <w:bCs/>
          <w:color w:val="1A1A1A"/>
          <w:sz w:val="24"/>
          <w:szCs w:val="24"/>
          <w:bdr w:val="none" w:sz="0" w:space="0" w:color="auto" w:frame="1"/>
          <w:lang w:val="ru-BY" w:eastAsia="ru-BY"/>
        </w:rPr>
        <w:t>В условиях действия обстоятельств непреодолимой силы </w:t>
      </w:r>
      <w:r w:rsidRPr="00F13C35">
        <w:rPr>
          <w:rFonts w:ascii="Arial" w:eastAsia="Times New Roman" w:hAnsi="Arial" w:cs="Arial"/>
          <w:color w:val="1A1A1A"/>
          <w:sz w:val="24"/>
          <w:szCs w:val="24"/>
          <w:lang w:val="ru-BY" w:eastAsia="ru-BY"/>
        </w:rPr>
        <w:t>(чрезвычайных ситуаций природного и техногенного характера) возможна ситуация неработоспособности (перебоев в работе) сетей связи, выхода из строя оборудования, сокращение технического персонала либо его переориентирование на выполнение иных задач, связанных с обеспечением нормального функционирования систем жизнеобеспечения.</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proofErr w:type="spellStart"/>
      <w:r w:rsidRPr="00F13C35">
        <w:rPr>
          <w:rFonts w:ascii="Arial" w:eastAsia="Times New Roman" w:hAnsi="Arial" w:cs="Arial"/>
          <w:i/>
          <w:iCs/>
          <w:color w:val="1A1A1A"/>
          <w:sz w:val="24"/>
          <w:szCs w:val="24"/>
          <w:bdr w:val="none" w:sz="0" w:space="0" w:color="auto" w:frame="1"/>
          <w:lang w:val="ru-BY" w:eastAsia="ru-BY"/>
        </w:rPr>
        <w:t>Справочно</w:t>
      </w:r>
      <w:proofErr w:type="spellEnd"/>
      <w:r w:rsidRPr="00F13C35">
        <w:rPr>
          <w:rFonts w:ascii="Arial" w:eastAsia="Times New Roman" w:hAnsi="Arial" w:cs="Arial"/>
          <w:i/>
          <w:iCs/>
          <w:color w:val="1A1A1A"/>
          <w:sz w:val="24"/>
          <w:szCs w:val="24"/>
          <w:bdr w:val="none" w:sz="0" w:space="0" w:color="auto" w:frame="1"/>
          <w:lang w:val="ru-BY" w:eastAsia="ru-BY"/>
        </w:rPr>
        <w:t>. В соответствии с Инструкцией о порядке классификации чрезвычайных ситуаций природного и техногенного характера, утвержденной постановлением Министерства по чрезвычайным ситуациям Республики Беларусь от 03.08.2023 № 46, под непреодолимой силой понимаются чрезвычайные и непредотвратимые при конкретных условиях обстоятельства.</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В этой связи в целях обеспечения организации снабжения граждан основными продовольственными товарами и другими товарами первой необходимости, маркированными унифицированными контрольными знаками или средствами идентификации, или подлежащими маркировке и (или) прослеживаемости, без соблюдения требований Указа Президента Республики Беларусь от 10 июня 2011 г. № 243 «О маркировке товаров» (далее – Указ № 243) и Указа Президента Республики Беларусь от 29.12.2020 № 496 «О прослеживаемости товаров» (далее – Указ № 496), на территории, где фиксируется факт действия обстоятельств непреодолимой силы (чрезвычайных ситуаций природного и техногенного характера), </w:t>
      </w:r>
      <w:r w:rsidRPr="00F13C35">
        <w:rPr>
          <w:rFonts w:ascii="Arial" w:eastAsia="Times New Roman" w:hAnsi="Arial" w:cs="Arial"/>
          <w:b/>
          <w:bCs/>
          <w:color w:val="1A1A1A"/>
          <w:sz w:val="24"/>
          <w:szCs w:val="24"/>
          <w:bdr w:val="none" w:sz="0" w:space="0" w:color="auto" w:frame="1"/>
          <w:lang w:val="ru-BY" w:eastAsia="ru-BY"/>
        </w:rPr>
        <w:t>допускается следующее.</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b/>
          <w:bCs/>
          <w:color w:val="1A1A1A"/>
          <w:sz w:val="24"/>
          <w:szCs w:val="24"/>
          <w:bdr w:val="none" w:sz="0" w:space="0" w:color="auto" w:frame="1"/>
          <w:lang w:val="ru-BY" w:eastAsia="ru-BY"/>
        </w:rPr>
        <w:t>В отношении маркировки товаров и оборота маркированных товаров.</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lastRenderedPageBreak/>
        <w:t>Субъекты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не содержащий элементы (средства) защиты от подделки или знак защиты, вправе не использовать электронные накладные или иные документы в виде электронных документов, создаваемые субъектами хозяйствования, подтверждающие перемещение товаров при осуществлении взаимной торговли с другими государствами, в которых указана информация о нанесенных средствах идентификации. В условиях действия обстоятельств непреодолимой силы, когда использование субъектами хозяйствования электронных накладных невозможно, оборот маркированных товаров может осуществляться с использованием товарно-транспортных и товарных накладных, составленных на бумажных носителях.</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Кроме того, в период действия обстоятельств непреодолимой силы допускается оборот товаров, подлежащих маркировке средствами идентификации или унифицированными контрольными знаками, без нанесенных на товары или их упаковку унифицированных контрольных знаков или средств идентификации либо с нанесенными на товары унифицированными контрольными знаками или средствами идентификации при отсутствии сведений о таких товарах в системе маркировки.</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b/>
          <w:bCs/>
          <w:color w:val="1A1A1A"/>
          <w:sz w:val="24"/>
          <w:szCs w:val="24"/>
          <w:bdr w:val="none" w:sz="0" w:space="0" w:color="auto" w:frame="1"/>
          <w:lang w:val="ru-BY" w:eastAsia="ru-BY"/>
        </w:rPr>
        <w:t>В отношении оборота товаров, подлежащих прослеживаемости.</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Операции, связанные с оборотом товаров, подлежащих прослеживаемости, в условиях действия обстоятельств непреодолимой силы, когда использование субъектами хозяйствования электронных накладных невозможно, могут осуществляться с использованием товарно-транспортных и товарных накладных, составленных на бумажных носителях.</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b/>
          <w:bCs/>
          <w:color w:val="1A1A1A"/>
          <w:sz w:val="24"/>
          <w:szCs w:val="24"/>
          <w:bdr w:val="none" w:sz="0" w:space="0" w:color="auto" w:frame="1"/>
          <w:lang w:val="ru-BY" w:eastAsia="ru-BY"/>
        </w:rPr>
        <w:t>В отношении фиксации факта реализации маркированных товаров в розничной сети.</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С учетом норм подпункта 35.1 пункта 35, пунктов 37 и 38 Положения об использовании кассового и иного оборудования при приеме средств платежа, утвержденного постановлением Совета Министров Республики Беларусь, Национального банка Республики Беларусь от 06.07.2011 № 924/16 (далее – Положение № 924/16), части второй пункта 101 Положения № 924/16 (в редакции, вступающей в силу с 01.07.2025) при реализации маркированных товаров, подлежащих маркировке, субъекты хозяйствования вправе не использовать кассовое оборудование в случае ремонта кассового оборудования или при временном отсутствии электроэнергии.</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При этом в случае, если стоимость единицы продаваемого товара составляет либо превышает одну базовую величину, при приеме платежей в свой адрес наличными денежными средствами при продаже товаров, выполнении работ, оказании услуг без применения кассового оборудования и платежных терминалов в том числе в случае отсутствия электроэнергии, субъекты хозяйствования оформляют в соответствии с законодательством каждый факт приема таких платежей документом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(пункт 37 Положения № 924/16).</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proofErr w:type="spellStart"/>
      <w:r w:rsidRPr="00F13C35">
        <w:rPr>
          <w:rFonts w:ascii="Arial" w:eastAsia="Times New Roman" w:hAnsi="Arial" w:cs="Arial"/>
          <w:i/>
          <w:iCs/>
          <w:color w:val="1A1A1A"/>
          <w:sz w:val="24"/>
          <w:szCs w:val="24"/>
          <w:bdr w:val="none" w:sz="0" w:space="0" w:color="auto" w:frame="1"/>
          <w:lang w:val="ru-BY" w:eastAsia="ru-BY"/>
        </w:rPr>
        <w:lastRenderedPageBreak/>
        <w:t>Справочно</w:t>
      </w:r>
      <w:proofErr w:type="spellEnd"/>
      <w:r w:rsidRPr="00F13C35">
        <w:rPr>
          <w:rFonts w:ascii="Arial" w:eastAsia="Times New Roman" w:hAnsi="Arial" w:cs="Arial"/>
          <w:i/>
          <w:iCs/>
          <w:color w:val="1A1A1A"/>
          <w:sz w:val="24"/>
          <w:szCs w:val="24"/>
          <w:bdr w:val="none" w:sz="0" w:space="0" w:color="auto" w:frame="1"/>
          <w:lang w:val="ru-BY" w:eastAsia="ru-BY"/>
        </w:rPr>
        <w:t>. Таким документом является квитанция о приеме наличных денежных средств при продаже товаров (выполнении работ, оказании услуг) без применения кассового оборудования и платежных терминалов, форма которой установлена постановлением Министерства антимонопольного регулирования и торговли Республики Беларусь от 07.04.2021 № 25 «О форме квитанции».</w:t>
      </w:r>
    </w:p>
    <w:p w:rsidR="00F13C35" w:rsidRPr="00F13C35" w:rsidRDefault="00F13C35" w:rsidP="00F13C35">
      <w:pPr>
        <w:shd w:val="clear" w:color="auto" w:fill="FAFAFA"/>
        <w:spacing w:before="240" w:after="24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В случае, если стоимость единицы продаваемого товара составляет менее одной базовой величины, то в данной ситуации субъекты хозяйствования осуществляют отражение в приходных кассовых ордерах по окончании рабочего дня (смены), иного периода, определяемого юридическими лицами и индивидуальными предпринимателями, но не реже чем один раз в семь дней общей суммы выручки за рабочий день (смену), иной период, определяемый юридическими лицами и индивидуальными предпринимателями, но не реже одного раза в семь дней (пункт 38 Положения № 924/16).</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r w:rsidRPr="00F13C35">
        <w:rPr>
          <w:rFonts w:ascii="Arial" w:eastAsia="Times New Roman" w:hAnsi="Arial" w:cs="Arial"/>
          <w:color w:val="1A1A1A"/>
          <w:sz w:val="24"/>
          <w:szCs w:val="24"/>
          <w:lang w:val="ru-BY" w:eastAsia="ru-BY"/>
        </w:rPr>
        <w:t>Обращаем внимание, что </w:t>
      </w:r>
      <w:r w:rsidRPr="00F13C35">
        <w:rPr>
          <w:rFonts w:ascii="Arial" w:eastAsia="Times New Roman" w:hAnsi="Arial" w:cs="Arial"/>
          <w:b/>
          <w:bCs/>
          <w:color w:val="1A1A1A"/>
          <w:sz w:val="24"/>
          <w:szCs w:val="24"/>
          <w:bdr w:val="none" w:sz="0" w:space="0" w:color="auto" w:frame="1"/>
          <w:lang w:val="ru-BY" w:eastAsia="ru-BY"/>
        </w:rPr>
        <w:t>оборот товаров в соответствии с настоящим порядком может осуществляться только</w:t>
      </w:r>
      <w:r w:rsidRPr="00F13C35">
        <w:rPr>
          <w:rFonts w:ascii="Arial" w:eastAsia="Times New Roman" w:hAnsi="Arial" w:cs="Arial"/>
          <w:color w:val="1A1A1A"/>
          <w:sz w:val="24"/>
          <w:szCs w:val="24"/>
          <w:lang w:val="ru-BY" w:eastAsia="ru-BY"/>
        </w:rPr>
        <w:t> в период действия обстоятельств непреодолимой силы.</w:t>
      </w:r>
    </w:p>
    <w:p w:rsidR="00F13C35" w:rsidRPr="00F13C35" w:rsidRDefault="00F13C35" w:rsidP="00F13C35">
      <w:pPr>
        <w:shd w:val="clear" w:color="auto" w:fill="FAFAFA"/>
        <w:spacing w:after="0" w:line="240" w:lineRule="auto"/>
        <w:jc w:val="both"/>
        <w:rPr>
          <w:rFonts w:ascii="Arial" w:eastAsia="Times New Roman" w:hAnsi="Arial" w:cs="Arial"/>
          <w:color w:val="1A1A1A"/>
          <w:sz w:val="24"/>
          <w:szCs w:val="24"/>
          <w:lang w:val="ru-BY" w:eastAsia="ru-BY"/>
        </w:rPr>
      </w:pPr>
      <w:proofErr w:type="spellStart"/>
      <w:r w:rsidRPr="00F13C35">
        <w:rPr>
          <w:rFonts w:ascii="Arial" w:eastAsia="Times New Roman" w:hAnsi="Arial" w:cs="Arial"/>
          <w:i/>
          <w:iCs/>
          <w:color w:val="1A1A1A"/>
          <w:sz w:val="24"/>
          <w:szCs w:val="24"/>
          <w:bdr w:val="none" w:sz="0" w:space="0" w:color="auto" w:frame="1"/>
          <w:lang w:val="ru-BY" w:eastAsia="ru-BY"/>
        </w:rPr>
        <w:t>Справочно</w:t>
      </w:r>
      <w:proofErr w:type="spellEnd"/>
      <w:r w:rsidRPr="00F13C35">
        <w:rPr>
          <w:rFonts w:ascii="Arial" w:eastAsia="Times New Roman" w:hAnsi="Arial" w:cs="Arial"/>
          <w:i/>
          <w:iCs/>
          <w:color w:val="1A1A1A"/>
          <w:sz w:val="24"/>
          <w:szCs w:val="24"/>
          <w:bdr w:val="none" w:sz="0" w:space="0" w:color="auto" w:frame="1"/>
          <w:lang w:val="ru-BY" w:eastAsia="ru-BY"/>
        </w:rPr>
        <w:t>. В соответствии с пунктом 5 Основных направлений деятельности отдельных республиканских органов государственного управления, иных государственных органов, белорусского республиканского унитарного страхового предприятия «</w:t>
      </w:r>
      <w:proofErr w:type="spellStart"/>
      <w:r w:rsidRPr="00F13C35">
        <w:rPr>
          <w:rFonts w:ascii="Arial" w:eastAsia="Times New Roman" w:hAnsi="Arial" w:cs="Arial"/>
          <w:i/>
          <w:iCs/>
          <w:color w:val="1A1A1A"/>
          <w:sz w:val="24"/>
          <w:szCs w:val="24"/>
          <w:bdr w:val="none" w:sz="0" w:space="0" w:color="auto" w:frame="1"/>
          <w:lang w:val="ru-BY" w:eastAsia="ru-BY"/>
        </w:rPr>
        <w:t>Белгосстрах</w:t>
      </w:r>
      <w:proofErr w:type="spellEnd"/>
      <w:r w:rsidRPr="00F13C35">
        <w:rPr>
          <w:rFonts w:ascii="Arial" w:eastAsia="Times New Roman" w:hAnsi="Arial" w:cs="Arial"/>
          <w:i/>
          <w:iCs/>
          <w:color w:val="1A1A1A"/>
          <w:sz w:val="24"/>
          <w:szCs w:val="24"/>
          <w:bdr w:val="none" w:sz="0" w:space="0" w:color="auto" w:frame="1"/>
          <w:lang w:val="ru-BY" w:eastAsia="ru-BY"/>
        </w:rPr>
        <w:t>» в области защиты населения и территорий от чрезвычайных ситуаций природного и техногенного характера, установленных постановлением Совета Министров Республики Беларусь 10.04.2001 № 495, МЧС организует оповещение руководящего состава, территориальных и отраслевых подсистем Государственной системы предупреждения и ликвидации чрезвычайных ситуаций, комиссий по чрезвычайным ситуациям, а также населения о возникших авариях, катастрофах, стихийных бедствиях и информирование о ходе ликвидации их последствий.</w:t>
      </w:r>
    </w:p>
    <w:p w:rsidR="00875DC8" w:rsidRPr="00F13C35" w:rsidRDefault="00875DC8">
      <w:pPr>
        <w:rPr>
          <w:lang w:val="ru-BY"/>
        </w:rPr>
      </w:pPr>
    </w:p>
    <w:sectPr w:rsidR="00875DC8" w:rsidRPr="00F13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35"/>
    <w:rsid w:val="000E04FA"/>
    <w:rsid w:val="00875DC8"/>
    <w:rsid w:val="00F13C3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72594-F526-4E52-94C1-2BBB90E5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1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Татьяна Геннадьевна</dc:creator>
  <cp:keywords/>
  <dc:description/>
  <cp:lastModifiedBy>Алексеева Татьяна Геннадьевна</cp:lastModifiedBy>
  <cp:revision>1</cp:revision>
  <dcterms:created xsi:type="dcterms:W3CDTF">2025-12-16T13:20:00Z</dcterms:created>
  <dcterms:modified xsi:type="dcterms:W3CDTF">2025-12-16T13:31:00Z</dcterms:modified>
</cp:coreProperties>
</file>