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7C" w:rsidRDefault="0002307C" w:rsidP="0002307C">
      <w:pPr>
        <w:pStyle w:val="20"/>
        <w:shd w:val="clear" w:color="auto" w:fill="auto"/>
      </w:pPr>
      <w:bookmarkStart w:id="0" w:name="_GoBack"/>
      <w:bookmarkEnd w:id="0"/>
      <w:r>
        <w:t>РЕКОМЕНДАЦИИ</w:t>
      </w:r>
    </w:p>
    <w:p w:rsidR="0002307C" w:rsidRDefault="0002307C" w:rsidP="0002307C">
      <w:pPr>
        <w:pStyle w:val="20"/>
        <w:shd w:val="clear" w:color="auto" w:fill="auto"/>
        <w:spacing w:after="250"/>
      </w:pPr>
      <w:r>
        <w:t>о порядке применения Указа Президента Республики Беларусь от 31.01.2025 № 46 «Об особенностях строительства и приемки объектов в эксплуатацию»</w:t>
      </w:r>
    </w:p>
    <w:p w:rsidR="0002307C" w:rsidRDefault="0002307C" w:rsidP="0002307C">
      <w:pPr>
        <w:pStyle w:val="20"/>
        <w:shd w:val="clear" w:color="auto" w:fill="auto"/>
        <w:spacing w:line="341" w:lineRule="exact"/>
        <w:ind w:firstLine="760"/>
      </w:pPr>
      <w:r>
        <w:t>Министерство архитектуры в рамках реализации функции по обеспечению предоставленных полномочий о разъяснении вопросов применения Указа Президента Республики Беларусь от 31.01.2025 № 46 «Об особенностях строительства и приемки объектов в эксплуатацию» (далее - Указ № 46) информирует об основных подходах к осуществлению строительной деятельности при реализации прав, предусмотренных данным Указом.</w:t>
      </w:r>
    </w:p>
    <w:p w:rsidR="0002307C" w:rsidRDefault="0002307C" w:rsidP="0002307C">
      <w:pPr>
        <w:pStyle w:val="10"/>
        <w:numPr>
          <w:ilvl w:val="0"/>
          <w:numId w:val="1"/>
        </w:numPr>
        <w:shd w:val="clear" w:color="auto" w:fill="auto"/>
        <w:tabs>
          <w:tab w:val="left" w:pos="1117"/>
        </w:tabs>
        <w:ind w:firstLine="760"/>
      </w:pPr>
      <w:bookmarkStart w:id="1" w:name="bookmark0"/>
      <w:r>
        <w:t>Порядок применения структурных элементов Указа № 46</w:t>
      </w:r>
      <w:bookmarkEnd w:id="1"/>
    </w:p>
    <w:p w:rsidR="0002307C" w:rsidRDefault="0002307C" w:rsidP="0002307C">
      <w:pPr>
        <w:pStyle w:val="20"/>
        <w:numPr>
          <w:ilvl w:val="1"/>
          <w:numId w:val="1"/>
        </w:numPr>
        <w:shd w:val="clear" w:color="auto" w:fill="auto"/>
        <w:tabs>
          <w:tab w:val="left" w:pos="1202"/>
        </w:tabs>
        <w:spacing w:line="341" w:lineRule="exact"/>
        <w:ind w:firstLine="760"/>
      </w:pPr>
      <w:r>
        <w:t xml:space="preserve">Подпункт 1.1 пункта 1 Указа 46 </w:t>
      </w:r>
      <w:r>
        <w:rPr>
          <w:rStyle w:val="21"/>
        </w:rPr>
        <w:t xml:space="preserve">устанавливает возможность приемки объектов строительства, </w:t>
      </w:r>
      <w:r>
        <w:t xml:space="preserve">относимых к четвертому и пятому классам сложности, </w:t>
      </w:r>
      <w:r>
        <w:rPr>
          <w:rStyle w:val="21"/>
        </w:rPr>
        <w:t xml:space="preserve">в эксплуатацию </w:t>
      </w:r>
      <w:r>
        <w:t>на основании заключений органов государственного строительного надзора об их соответствии критериям, определенным в части второй подпункта 1.1 пункта 1 Указа № 46, если объекты:</w:t>
      </w:r>
    </w:p>
    <w:p w:rsidR="0002307C" w:rsidRDefault="0002307C" w:rsidP="0002307C">
      <w:pPr>
        <w:pStyle w:val="20"/>
        <w:shd w:val="clear" w:color="auto" w:fill="auto"/>
        <w:tabs>
          <w:tab w:val="left" w:pos="2470"/>
          <w:tab w:val="left" w:pos="5528"/>
          <w:tab w:val="left" w:pos="7296"/>
        </w:tabs>
        <w:spacing w:line="341" w:lineRule="exact"/>
        <w:ind w:firstLine="760"/>
      </w:pPr>
      <w:r>
        <w:t xml:space="preserve">возведены с использованием </w:t>
      </w:r>
      <w:r>
        <w:rPr>
          <w:rStyle w:val="22"/>
        </w:rPr>
        <w:t>проектной документации</w:t>
      </w:r>
      <w:r>
        <w:t xml:space="preserve">, разработанной методом привязки проектов, </w:t>
      </w:r>
      <w:r>
        <w:rPr>
          <w:rStyle w:val="22"/>
        </w:rPr>
        <w:t>рекомендованных</w:t>
      </w:r>
      <w:r>
        <w:t xml:space="preserve"> </w:t>
      </w:r>
      <w:r>
        <w:rPr>
          <w:rStyle w:val="22"/>
        </w:rPr>
        <w:t>для повторного применения</w:t>
      </w:r>
      <w:r>
        <w:rPr>
          <w:rStyle w:val="23"/>
        </w:rPr>
        <w:t>,</w:t>
      </w:r>
      <w:r>
        <w:t xml:space="preserve"> к месту размещения объекта;</w:t>
      </w:r>
    </w:p>
    <w:p w:rsidR="0002307C" w:rsidRDefault="0002307C" w:rsidP="0002307C">
      <w:r>
        <w:rPr>
          <w:rStyle w:val="30"/>
          <w:rFonts w:eastAsiaTheme="minorHAnsi"/>
          <w:b w:val="0"/>
          <w:bCs w:val="0"/>
        </w:rPr>
        <w:t>либо</w:t>
      </w:r>
    </w:p>
    <w:p w:rsidR="0002307C" w:rsidRDefault="0002307C" w:rsidP="0002307C">
      <w:pPr>
        <w:pStyle w:val="20"/>
        <w:shd w:val="clear" w:color="auto" w:fill="auto"/>
        <w:tabs>
          <w:tab w:val="left" w:pos="2470"/>
          <w:tab w:val="left" w:pos="5528"/>
        </w:tabs>
        <w:spacing w:line="341" w:lineRule="exact"/>
        <w:ind w:firstLine="760"/>
      </w:pPr>
      <w:r>
        <w:t xml:space="preserve">закончены строительством в соответствии с проектной документацией, </w:t>
      </w:r>
      <w:r>
        <w:rPr>
          <w:rStyle w:val="22"/>
        </w:rPr>
        <w:t xml:space="preserve">прошедшей государственную строительную экспертизу </w:t>
      </w:r>
      <w:r>
        <w:t>по стадии «Строительный проект», в которую после прохождения госстройэкспертизы изменения не вносились либо по которой после внесения в нее изменений повторно получено заключение госстройэкспертизы.</w:t>
      </w:r>
    </w:p>
    <w:p w:rsidR="0002307C" w:rsidRDefault="0002307C" w:rsidP="0002307C">
      <w:pPr>
        <w:pStyle w:val="40"/>
        <w:shd w:val="clear" w:color="auto" w:fill="auto"/>
      </w:pPr>
      <w:r>
        <w:tab/>
        <w:t>Справочно.</w:t>
      </w:r>
    </w:p>
    <w:p w:rsidR="0002307C" w:rsidRDefault="0002307C" w:rsidP="0002307C">
      <w:pPr>
        <w:pStyle w:val="50"/>
        <w:shd w:val="clear" w:color="auto" w:fill="auto"/>
        <w:tabs>
          <w:tab w:val="left" w:pos="2078"/>
          <w:tab w:val="left" w:pos="2899"/>
        </w:tabs>
        <w:ind w:firstLine="760"/>
      </w:pPr>
      <w:r>
        <w:t xml:space="preserve">Применение порядка, установленного подпунктом 1.1 пункта 1 Указа </w:t>
      </w:r>
      <w:r w:rsidRPr="007E4CBE">
        <w:t xml:space="preserve">                   </w:t>
      </w:r>
      <w:r>
        <w:t>№ 46, предполагает наличие заключения госстройэкспертизы по проектной документации при внесении в нее изменений вне зависимости от наличия/отсутствия необходимости ее повторного утверждения по результатам внесенных изменений.</w:t>
      </w:r>
    </w:p>
    <w:p w:rsidR="0002307C" w:rsidRDefault="0002307C" w:rsidP="0002307C">
      <w:pPr>
        <w:pStyle w:val="20"/>
        <w:numPr>
          <w:ilvl w:val="1"/>
          <w:numId w:val="1"/>
        </w:numPr>
        <w:shd w:val="clear" w:color="auto" w:fill="auto"/>
        <w:tabs>
          <w:tab w:val="left" w:pos="1226"/>
        </w:tabs>
        <w:spacing w:line="346" w:lineRule="exact"/>
        <w:ind w:firstLine="760"/>
      </w:pPr>
      <w:r>
        <w:t xml:space="preserve">Подпункт 1.2 пункта 1 Указа № 46 </w:t>
      </w:r>
      <w:r>
        <w:rPr>
          <w:rStyle w:val="21"/>
        </w:rPr>
        <w:t>устанавливает возможность строительства объектов</w:t>
      </w:r>
      <w:r>
        <w:t>, относимых к четвертому и пятому классам сложности, на предоставленном земельном участке в пределах разрешенных инженерных нагрузок по решению заказчика (застройщика) на основании совокупности следующих документов:</w:t>
      </w:r>
    </w:p>
    <w:p w:rsidR="0002307C" w:rsidRDefault="0002307C" w:rsidP="0002307C">
      <w:pPr>
        <w:pStyle w:val="20"/>
        <w:shd w:val="clear" w:color="auto" w:fill="auto"/>
        <w:spacing w:line="346" w:lineRule="exact"/>
        <w:ind w:firstLine="760"/>
      </w:pPr>
      <w:r>
        <w:rPr>
          <w:rStyle w:val="22"/>
        </w:rPr>
        <w:t>чертежей</w:t>
      </w:r>
      <w:r>
        <w:rPr>
          <w:rStyle w:val="23"/>
        </w:rPr>
        <w:t>,</w:t>
      </w:r>
      <w:r>
        <w:t xml:space="preserve"> состав и объем которых определяются заказчиком (застройщиком);</w:t>
      </w:r>
    </w:p>
    <w:p w:rsidR="0002307C" w:rsidRDefault="0002307C" w:rsidP="0002307C">
      <w:pPr>
        <w:pStyle w:val="20"/>
        <w:shd w:val="clear" w:color="auto" w:fill="auto"/>
        <w:spacing w:line="346" w:lineRule="exact"/>
        <w:ind w:firstLine="760"/>
      </w:pPr>
      <w:r>
        <w:rPr>
          <w:rStyle w:val="22"/>
        </w:rPr>
        <w:t>эскизного проекта</w:t>
      </w:r>
      <w:r>
        <w:t>, согласованного руководителем структурного</w:t>
      </w:r>
    </w:p>
    <w:p w:rsidR="0002307C" w:rsidRPr="0002307C" w:rsidRDefault="0002307C" w:rsidP="0002307C">
      <w:pPr>
        <w:widowControl w:val="0"/>
        <w:spacing w:after="0" w:line="341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подразделения местного исполнительного и распорядительного органа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базового территориального уровня, осуществляющего государственно - властные полномочия в области архитектурной, градостроительной и строительной деятельности на территории административно-территориальной единицы, включая территории районов в городе.</w:t>
      </w:r>
    </w:p>
    <w:p w:rsidR="0002307C" w:rsidRPr="0002307C" w:rsidRDefault="0002307C" w:rsidP="0002307C">
      <w:pPr>
        <w:widowControl w:val="0"/>
        <w:numPr>
          <w:ilvl w:val="0"/>
          <w:numId w:val="2"/>
        </w:numPr>
        <w:tabs>
          <w:tab w:val="left" w:pos="1309"/>
        </w:tabs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Приемка объекта в эксплуатацию:</w:t>
      </w:r>
    </w:p>
    <w:p w:rsidR="0002307C" w:rsidRPr="0002307C" w:rsidRDefault="0002307C" w:rsidP="0002307C">
      <w:pPr>
        <w:widowControl w:val="0"/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в рамках подпункта 1.1 пункта 1 Указа № 46 возможна при условии обязательного наличия положительного заключения </w:t>
      </w:r>
      <w:proofErr w:type="spellStart"/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госстройэкспертизы</w:t>
      </w:r>
      <w:proofErr w:type="spellEnd"/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02307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по проектной документации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;</w:t>
      </w:r>
    </w:p>
    <w:p w:rsidR="0002307C" w:rsidRPr="0002307C" w:rsidRDefault="0002307C" w:rsidP="0002307C">
      <w:pPr>
        <w:widowControl w:val="0"/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реализация подпункта 1.2 пункта 1 Указа № 46 осуществляется по объектам строительства, строящимся на основании </w:t>
      </w:r>
      <w:r w:rsidRPr="0002307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эскизного проекта и чертежей.</w:t>
      </w:r>
    </w:p>
    <w:p w:rsidR="0002307C" w:rsidRPr="0002307C" w:rsidRDefault="0002307C" w:rsidP="0002307C">
      <w:pPr>
        <w:widowControl w:val="0"/>
        <w:numPr>
          <w:ilvl w:val="0"/>
          <w:numId w:val="2"/>
        </w:numPr>
        <w:tabs>
          <w:tab w:val="left" w:pos="1268"/>
        </w:tabs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 учетом установленных норм, </w:t>
      </w:r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применение структурных элементов Указа № 46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осуществляется в следующем порядке:</w:t>
      </w:r>
    </w:p>
    <w:p w:rsidR="0002307C" w:rsidRPr="0002307C" w:rsidRDefault="0002307C" w:rsidP="0002307C">
      <w:pPr>
        <w:widowControl w:val="0"/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подпункт 1.1 пункта 1 Указа № 46 - применяется в том числе к объектам строительства, по которым разрешительная документация получена, и проектная документация разработана до вступления в силу Указа № 46;</w:t>
      </w:r>
    </w:p>
    <w:p w:rsidR="0002307C" w:rsidRPr="0002307C" w:rsidRDefault="0002307C" w:rsidP="0002307C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ab/>
        <w:t>Справочно.</w:t>
      </w:r>
    </w:p>
    <w:p w:rsidR="0002307C" w:rsidRPr="0002307C" w:rsidRDefault="0002307C" w:rsidP="0002307C">
      <w:pPr>
        <w:widowControl w:val="0"/>
        <w:spacing w:after="0" w:line="278" w:lineRule="exact"/>
        <w:ind w:firstLine="78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023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Обращается внимание, что в случае, если по объекту строительства до реализации права упрощенной приемки, предусмотренной подпунктом 1.1 пункта 1 Указа № 46, получены предписания надзорных органов в рамках осуществляемой ими деятельности, определяющие необходимость устранения нарушений, то такие нарушения подлежат обязательному устранению.</w:t>
      </w:r>
    </w:p>
    <w:p w:rsidR="0002307C" w:rsidRPr="0002307C" w:rsidRDefault="0002307C" w:rsidP="0002307C">
      <w:pPr>
        <w:widowControl w:val="0"/>
        <w:spacing w:after="0" w:line="278" w:lineRule="exact"/>
        <w:ind w:firstLine="78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023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Одновременно, если объект направлялся на получение заключений органов государственного надзора и по которым вынесены отрицательные заключения, то упрощенный порядок приемки, в части получения только заключений органов государственного строительного надзора, по таким объектам не может быть применен.</w:t>
      </w:r>
    </w:p>
    <w:p w:rsidR="0002307C" w:rsidRPr="0002307C" w:rsidRDefault="0002307C" w:rsidP="0002307C">
      <w:pPr>
        <w:widowControl w:val="0"/>
        <w:spacing w:after="0" w:line="346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подпункт 1.2 пункта 1 Указа № 46 - применяется только в отношении объектов, по которым соответствующее решение </w:t>
      </w:r>
      <w:r w:rsidRPr="0002307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(приказ, постановление, распоряжение)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заказчика, застройщика об их строительстве с применением упрощенного порядка подпункт 1.2 пункта 1, принято после вступления в силу соответствующего подпункта Указа № 46 (то есть после 2 мая 2025 г.).</w:t>
      </w:r>
    </w:p>
    <w:p w:rsidR="0002307C" w:rsidRPr="0002307C" w:rsidRDefault="0002307C" w:rsidP="0002307C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ab/>
        <w:t>Справочно.</w:t>
      </w:r>
    </w:p>
    <w:p w:rsidR="0002307C" w:rsidRPr="0002307C" w:rsidRDefault="0002307C" w:rsidP="0002307C">
      <w:pPr>
        <w:widowControl w:val="0"/>
        <w:spacing w:after="0" w:line="278" w:lineRule="exact"/>
        <w:ind w:firstLine="78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023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Одновременное применение обычного и упрощенного порядка не допускается.</w:t>
      </w:r>
    </w:p>
    <w:p w:rsidR="0002307C" w:rsidRPr="0002307C" w:rsidRDefault="0002307C" w:rsidP="0002307C">
      <w:pPr>
        <w:widowControl w:val="0"/>
        <w:numPr>
          <w:ilvl w:val="0"/>
          <w:numId w:val="1"/>
        </w:numPr>
        <w:tabs>
          <w:tab w:val="left" w:pos="1062"/>
        </w:tabs>
        <w:spacing w:after="0" w:line="346" w:lineRule="exact"/>
        <w:ind w:firstLine="78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bookmarkStart w:id="2" w:name="bookmark1"/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Распространение норм Указа на виды строительной деятельности</w:t>
      </w:r>
      <w:bookmarkEnd w:id="2"/>
    </w:p>
    <w:p w:rsidR="0002307C" w:rsidRPr="0002307C" w:rsidRDefault="0002307C" w:rsidP="0002307C">
      <w:pPr>
        <w:widowControl w:val="0"/>
        <w:spacing w:after="0" w:line="346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Действие </w:t>
      </w:r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подпункта 1.1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пункта 1 Указа № 46 распространяется на </w:t>
      </w:r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все виды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строительной деятельности, по которым осуществляется приемка объекта в эксплуатацию, то есть </w:t>
      </w:r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за исключением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сноса и текущего ремонта.</w:t>
      </w:r>
    </w:p>
    <w:p w:rsidR="0002307C" w:rsidRPr="0002307C" w:rsidRDefault="0002307C" w:rsidP="0002307C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Справочно.</w:t>
      </w:r>
    </w:p>
    <w:p w:rsidR="0002307C" w:rsidRPr="0002307C" w:rsidRDefault="0002307C" w:rsidP="0002307C">
      <w:pPr>
        <w:widowControl w:val="0"/>
        <w:spacing w:after="0" w:line="278" w:lineRule="exact"/>
        <w:ind w:firstLine="7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023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lastRenderedPageBreak/>
        <w:t>Установленная норма не ограничивает возможность принимать объекты в эксплуатации на основании заключения органов государственного строительного надзора по объектам, которые завершены строительством после расконсервации.</w:t>
      </w:r>
    </w:p>
    <w:p w:rsidR="0002307C" w:rsidRPr="0002307C" w:rsidRDefault="0002307C" w:rsidP="0002307C">
      <w:pPr>
        <w:widowControl w:val="0"/>
        <w:tabs>
          <w:tab w:val="left" w:pos="2650"/>
        </w:tabs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Действие </w:t>
      </w:r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подпункта 1.2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пункта 1 Указа № 46 распространяется на </w:t>
      </w:r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все виды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строительной деятельности, проводимые на объектах четвертого-пятого класса сложности, </w:t>
      </w:r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за исключением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сноса.</w:t>
      </w:r>
    </w:p>
    <w:p w:rsidR="0002307C" w:rsidRPr="008F43C6" w:rsidRDefault="008F43C6" w:rsidP="008F43C6">
      <w:pPr>
        <w:spacing w:after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b/>
          <w:bCs/>
          <w:sz w:val="30"/>
          <w:szCs w:val="30"/>
        </w:rPr>
        <w:t>4. Иные пояснения с учетом поступающих запросов</w:t>
      </w:r>
    </w:p>
    <w:p w:rsidR="008F43C6" w:rsidRP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sz w:val="30"/>
          <w:szCs w:val="30"/>
          <w:u w:val="single"/>
        </w:rPr>
        <w:t>4.1. Изменение целевого назначения земельного участка.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Указом № 46 предоставлена возможно строительства объектов по упрощенному порядку только на предоставленном земельном участке. Под предоставленным земельным участком понимается предоставленная лицам для осуществления хозяйственной и иной деятельности часть земной поверхности, имеющая границу и целевое назначение, в установленном законодательством порядке. Таким образом, применение упрощенного порядка при строительстве объектов по Указу №</w:t>
      </w:r>
      <w:r>
        <w:rPr>
          <w:rFonts w:ascii="Times New Roman" w:hAnsi="Times New Roman" w:cs="Times New Roman"/>
          <w:sz w:val="30"/>
          <w:szCs w:val="30"/>
        </w:rPr>
        <w:t> </w:t>
      </w:r>
      <w:r w:rsidR="00CE1166" w:rsidRPr="00CE1166">
        <w:rPr>
          <w:rFonts w:ascii="Times New Roman" w:hAnsi="Times New Roman" w:cs="Times New Roman"/>
          <w:sz w:val="30"/>
          <w:szCs w:val="30"/>
        </w:rPr>
        <w:t>46 не устанавливает условий и возможности изменения целевого назначения земельного участка.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sz w:val="30"/>
          <w:szCs w:val="30"/>
          <w:u w:val="single"/>
        </w:rPr>
        <w:t>4.2. О разрешенных инженерных нагрузках и возможности их увеличения.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Под разрешенными инженерными нагрузками понимается допустимая величина нагрузки на инженерные сети, обеспечивающие подачу ресурсов (вода, энергия, информация и другие ресурсы) на объекты потребления и в случае необходимости отведение использованных ресурсов. При необходимости заказчик (застройщик) вправе самостоятельно запросить информацию у специализированных эксплуатирующих организаций о возможном присоединении к инженерным сетям и иным объектам строящейся объект строительства. Увеличение предельных инженерных нагрузок при реализации права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E1166" w:rsidRPr="00CE1166">
        <w:rPr>
          <w:rFonts w:ascii="Times New Roman" w:hAnsi="Times New Roman" w:cs="Times New Roman"/>
          <w:sz w:val="30"/>
          <w:szCs w:val="30"/>
        </w:rPr>
        <w:t>упрощенного строительства не допускается.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sz w:val="30"/>
          <w:szCs w:val="30"/>
          <w:u w:val="single"/>
        </w:rPr>
        <w:t>4.3. Требования технических нормативных правовых актов (далее – ТНПА), подлежащие соблюдению при разработке чертежей и приемке объектов.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Возможность применения специальных технических условий.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 xml:space="preserve">При разработке чертежей и приемке объектов строительства, строящихся с учетом применения прав, установленных подпунктом 1.2 пункта 1 Указа № 46, учитываются требования ТНПА, входящих в состав национального комплекса технических нормативных правовых актов, методических документов в области архитектурной, градостроительной и строительной деятельности. Строительство </w:t>
      </w:r>
      <w:r w:rsidR="00CE1166" w:rsidRPr="00CE1166">
        <w:rPr>
          <w:rFonts w:ascii="Times New Roman" w:hAnsi="Times New Roman" w:cs="Times New Roman"/>
          <w:sz w:val="30"/>
          <w:szCs w:val="30"/>
        </w:rPr>
        <w:lastRenderedPageBreak/>
        <w:t xml:space="preserve">объектов в рамках Указа 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CE1166" w:rsidRPr="00CE1166">
        <w:rPr>
          <w:rFonts w:ascii="Times New Roman" w:hAnsi="Times New Roman" w:cs="Times New Roman"/>
          <w:sz w:val="30"/>
          <w:szCs w:val="30"/>
        </w:rPr>
        <w:t>№ 46 не предполагает разработку эскизного проекта, чертежей со специальными техническими условиями. Разработка специальных технических условий возможна только при проектировании объекта строительства в установленном порядке (статья 74 Кодекса Республики Беларусь об архитектурной, градостроительной и строительной деятельности).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sz w:val="30"/>
          <w:szCs w:val="30"/>
          <w:u w:val="single"/>
        </w:rPr>
        <w:t>4.4 О наличии аттестата соответствия.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При строительстве объектов в рамках Указа №</w:t>
      </w:r>
      <w:r>
        <w:rPr>
          <w:rFonts w:ascii="Times New Roman" w:hAnsi="Times New Roman" w:cs="Times New Roman"/>
          <w:sz w:val="30"/>
          <w:szCs w:val="30"/>
        </w:rPr>
        <w:t> </w:t>
      </w:r>
      <w:r w:rsidR="00CE1166" w:rsidRPr="00CE1166">
        <w:rPr>
          <w:rFonts w:ascii="Times New Roman" w:hAnsi="Times New Roman" w:cs="Times New Roman"/>
          <w:sz w:val="30"/>
          <w:szCs w:val="30"/>
        </w:rPr>
        <w:t>46, относимых к четвертому классу сложности наличие аттестата соответствия: на разработку эскизного проекта – не требуется; на разработку чертежей – юридические лица, индивидуальные предприниматели должны иметь аттестат соответствия.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sz w:val="30"/>
          <w:szCs w:val="30"/>
          <w:u w:val="single"/>
        </w:rPr>
        <w:t>4.5. О регистрации в Едином реестре объектов капитального строительства (далее – ЕРОКС).</w:t>
      </w:r>
    </w:p>
    <w:p w:rsidR="00294F0C" w:rsidRDefault="008F43C6" w:rsidP="00294F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Форма акта приемки объекта строительства, относимого к четвертому и пятому классам сложности, законченного строительством в соответствии с подпунктом 1.2 пункта 1 Указа № 46, в эксплуатацию, установленная приложением 8-3 постановления Министерства архитектуры и строительства Республики Беларусь от 6 декабря 2018 г. №</w:t>
      </w:r>
      <w:r w:rsidR="00294F0C">
        <w:rPr>
          <w:rFonts w:ascii="Times New Roman" w:hAnsi="Times New Roman" w:cs="Times New Roman"/>
          <w:sz w:val="30"/>
          <w:szCs w:val="30"/>
        </w:rPr>
        <w:t> </w:t>
      </w:r>
      <w:r w:rsidR="00CE1166" w:rsidRPr="00CE1166">
        <w:rPr>
          <w:rFonts w:ascii="Times New Roman" w:hAnsi="Times New Roman" w:cs="Times New Roman"/>
          <w:sz w:val="30"/>
          <w:szCs w:val="30"/>
        </w:rPr>
        <w:t>40, содержит пункт 2, предусматривающий указания идентификационного номера регистрации в ЕРОКС, что предполагает безусловность регистрации объекта строительства в данном реестре.</w:t>
      </w:r>
    </w:p>
    <w:p w:rsidR="00294F0C" w:rsidRDefault="00294F0C" w:rsidP="00294F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294F0C">
        <w:rPr>
          <w:rFonts w:ascii="Times New Roman" w:hAnsi="Times New Roman" w:cs="Times New Roman"/>
          <w:sz w:val="30"/>
          <w:szCs w:val="30"/>
          <w:u w:val="single"/>
        </w:rPr>
        <w:t>4.6. О критериях оценки при приемке, отказ члена приемочной комиссии от подписания акта приемки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94F0C" w:rsidRDefault="00294F0C" w:rsidP="00294F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При приемке в эксплуатацию объект оценивается приемочной комиссией по критериям, установленным в пункте 4 приложения к Указу №</w:t>
      </w:r>
      <w:r>
        <w:rPr>
          <w:rFonts w:ascii="Times New Roman" w:hAnsi="Times New Roman" w:cs="Times New Roman"/>
          <w:sz w:val="30"/>
          <w:szCs w:val="30"/>
        </w:rPr>
        <w:t> </w:t>
      </w:r>
      <w:r w:rsidR="00CE1166" w:rsidRPr="00CE1166">
        <w:rPr>
          <w:rFonts w:ascii="Times New Roman" w:hAnsi="Times New Roman" w:cs="Times New Roman"/>
          <w:sz w:val="30"/>
          <w:szCs w:val="30"/>
        </w:rPr>
        <w:t>46. Акт приемки объекта в эксплуатацию подписывается всеми членами приемочной комиссии. Отказ члена приемочной комиссии от подписания акта приемки объекта в эксплуатацию должен быть оформлен письменно не позднее даты окончания работы приемочной комиссии с обоснованием причин отказа. В случае непредставления членом приемочной комиссии письменного отказа от подписания акта приемки объекта в эксплуатацию с обоснованием причин такого отказа член приемочной комиссии обязан подписать указанный акт (статья 114 Кодекса). Члены приемочной комиссии несут ответственность по компетенции.</w:t>
      </w:r>
    </w:p>
    <w:p w:rsidR="00294F0C" w:rsidRDefault="00294F0C" w:rsidP="0002307C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294F0C">
        <w:rPr>
          <w:rFonts w:ascii="Times New Roman" w:hAnsi="Times New Roman" w:cs="Times New Roman"/>
          <w:sz w:val="30"/>
          <w:szCs w:val="30"/>
          <w:u w:val="single"/>
        </w:rPr>
        <w:t>4.7. О перечне документов, подтверждающих соответствие объекта строительства критериям, установленным в пункте 4 приложения к Указу № 46.</w:t>
      </w:r>
      <w:r w:rsidR="00CE1166" w:rsidRPr="00CE116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94F0C" w:rsidRDefault="00294F0C" w:rsidP="00294F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 xml:space="preserve">Исполнение данных критериев оценки должно подтверждаться наличием: при разработке чертежей решений по надежности конструктивной схемы здания или сооружения, по мероприятиям в части подготовки строительной площадки, включая инженерную защиту, по защите от опасных природных и техногенных процессов (при наличии), по защите строительных конструкций зданий (сооружений) от коррозии, иного воздействия, а также решений обеспечивающих соблюдение требований пожарной безопасности, требований гигиены, защиты здоровья и наследственности человека, окружающей среды, требований защиты от шума и вибрации, требований безопасности при эксплуатации сооружений, требований экономии энергии и тепловой защиты; на момент приемки у заказчика: актов освидетельствования скрытых работ; актов промежуточной приемки ответственных конструкций; актов испытаний: технологических трубопроводов, внутренних систем газо-, электро-, теплоснабжения (отопления и вентиляции), холодного и горячего водоснабжения; водоотведения (канализации), наружных сетей газо-, электро-, теплоснабжения, водоснабжения, водоотведения (канализации) и дренажных устройств, устройств, обеспечивающих взрыво-, пожаробезопасность и молниезащиту; актов индивидуальных испытаний смонтированного оборудования; актов приемки оборудования после комплексного опробования; документов об оценке соответствия строительных материалов и (или) строительных изделий. </w:t>
      </w: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Отсутствие данных документов или решений в составе чертежей является основанием для отказа членов приемочной комиссии от подписания акта приемки.</w:t>
      </w:r>
    </w:p>
    <w:p w:rsidR="00294F0C" w:rsidRDefault="00294F0C" w:rsidP="00294F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294F0C">
        <w:rPr>
          <w:rFonts w:ascii="Times New Roman" w:hAnsi="Times New Roman" w:cs="Times New Roman"/>
          <w:sz w:val="30"/>
          <w:szCs w:val="30"/>
          <w:u w:val="single"/>
        </w:rPr>
        <w:t>4.8. О приемке в эксплуатацию объектов, строительство которых осуществлялось в соответствии с подпунктом 1.2 пункта 1 Указа № 46, в порядке, предусмотренном для объектов самовольного строительства.</w:t>
      </w:r>
    </w:p>
    <w:p w:rsidR="00673C14" w:rsidRDefault="00294F0C" w:rsidP="00673C1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 xml:space="preserve">Согласно статье 223 Гражданского Кодекса Республики Беларусь только объект строительства, созданный в результате самовольного строительства, является самовольной постройкой. Положением о порядке принятия решений по самовольным постройкам, утвержденным постановлением Совета Министров Республики Беларусь </w:t>
      </w:r>
      <w:r>
        <w:rPr>
          <w:rFonts w:ascii="Times New Roman" w:hAnsi="Times New Roman" w:cs="Times New Roman"/>
          <w:sz w:val="30"/>
          <w:szCs w:val="30"/>
        </w:rPr>
        <w:br/>
      </w:r>
      <w:r w:rsidR="00CE1166" w:rsidRPr="00CE1166">
        <w:rPr>
          <w:rFonts w:ascii="Times New Roman" w:hAnsi="Times New Roman" w:cs="Times New Roman"/>
          <w:sz w:val="30"/>
          <w:szCs w:val="30"/>
        </w:rPr>
        <w:t xml:space="preserve">от 22 декабря 2007 г. № 1802 предусмотрено обязательное оформление актов приемки в эксплуатацию самовольно построенных объектов. Также, частью четвертой подпункта 1.2 пункта 1 Указа № 46 установлено, что законченный строительством объект не является самовольной постройкой. Установленная норма изначально исключает </w:t>
      </w:r>
      <w:r w:rsidR="00CE1166" w:rsidRPr="00CE1166">
        <w:rPr>
          <w:rFonts w:ascii="Times New Roman" w:hAnsi="Times New Roman" w:cs="Times New Roman"/>
          <w:sz w:val="30"/>
          <w:szCs w:val="30"/>
        </w:rPr>
        <w:lastRenderedPageBreak/>
        <w:t xml:space="preserve">возможность оформления актов приемки в эксплуатацию самовольно построенных объектов в отношении объектов, реализуемых на основании условий и прав, предоставленных пунктом 1.2 Указа № 46. </w:t>
      </w:r>
      <w:r>
        <w:rPr>
          <w:rFonts w:ascii="Times New Roman" w:hAnsi="Times New Roman" w:cs="Times New Roman"/>
          <w:sz w:val="30"/>
          <w:szCs w:val="30"/>
        </w:rPr>
        <w:tab/>
      </w:r>
      <w:r w:rsidR="00CE1166" w:rsidRPr="00673C14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Справочно.</w:t>
      </w:r>
      <w:r w:rsidR="00CE1166" w:rsidRPr="00673C14">
        <w:rPr>
          <w:rFonts w:ascii="Times New Roman" w:hAnsi="Times New Roman" w:cs="Times New Roman"/>
          <w:i/>
          <w:iCs/>
          <w:sz w:val="30"/>
          <w:szCs w:val="30"/>
        </w:rPr>
        <w:t xml:space="preserve"> Для приемки объектов, реализуемых на основании пункта 1.2 Указа № 46, постановлением Министерства архитектуры и строительства Республики Беларусь от 24.04.2025 № 49 утверждена соответствующая форма акта приемки объекта строительства.</w:t>
      </w:r>
    </w:p>
    <w:p w:rsidR="00673C14" w:rsidRDefault="00673C14" w:rsidP="00673C1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673C14">
        <w:rPr>
          <w:rFonts w:ascii="Times New Roman" w:hAnsi="Times New Roman" w:cs="Times New Roman"/>
          <w:sz w:val="30"/>
          <w:szCs w:val="30"/>
          <w:u w:val="single"/>
        </w:rPr>
        <w:t>4.9. Техническая эксплуатация зданий (сооружений), завершенных строительством и принятых в эксплуатацию с применением упрощенного порядка.</w:t>
      </w:r>
    </w:p>
    <w:p w:rsidR="00673C14" w:rsidRDefault="00673C14" w:rsidP="00673C1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Техническая эксплуатация зданий (сооружений) должна осуществляться в соответствии с документацией, на основании которой осуществлялось их строительство. При этом отмечаем, что согласно Декрету Президента Республики Беларусь от 23 ноября 2017 г. № 7 «О развитии предпринимательства» (далее – Декрет № 7) утверждены: общие требования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хозяйствования;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хозяйствования; общие требования в области охраны окружающей среды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хозяйствования; общие требования в области ветеринарии к содержанию и 8 эксплуатации капитальных строений (зданий, сооружений), изолированных помещений и иных объектов, принадлежащих субъектам хозяйствования.</w:t>
      </w:r>
    </w:p>
    <w:p w:rsidR="005A147B" w:rsidRPr="00CE1166" w:rsidRDefault="00673C14" w:rsidP="0002307C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Согласно подпункту 3.5 Декрета № 7 субъекты хозяйствования в процессе осуществления экономической деятельности обязаны соблюдать вышеуказанные общие требования.</w:t>
      </w:r>
    </w:p>
    <w:sectPr w:rsidR="005A147B" w:rsidRPr="00CE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C2624"/>
    <w:multiLevelType w:val="multilevel"/>
    <w:tmpl w:val="C2328C3A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5569AD"/>
    <w:multiLevelType w:val="multilevel"/>
    <w:tmpl w:val="9E56F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166"/>
    <w:rsid w:val="0002307C"/>
    <w:rsid w:val="00294F0C"/>
    <w:rsid w:val="005A147B"/>
    <w:rsid w:val="00673C14"/>
    <w:rsid w:val="008F43C6"/>
    <w:rsid w:val="00AF7D2A"/>
    <w:rsid w:val="00CE1166"/>
    <w:rsid w:val="00F6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2307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">
    <w:name w:val="Заголовок №1_"/>
    <w:basedOn w:val="a0"/>
    <w:link w:val="10"/>
    <w:rsid w:val="0002307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0230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singl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02307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sid w:val="0002307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rsid w:val="000230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ной текст (3)"/>
    <w:basedOn w:val="3"/>
    <w:rsid w:val="000230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2307C"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2307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307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rsid w:val="0002307C"/>
    <w:pPr>
      <w:widowControl w:val="0"/>
      <w:shd w:val="clear" w:color="auto" w:fill="FFFFFF"/>
      <w:spacing w:after="0" w:line="341" w:lineRule="exac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rsid w:val="0002307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50">
    <w:name w:val="Основной текст (5)"/>
    <w:basedOn w:val="a"/>
    <w:link w:val="5"/>
    <w:rsid w:val="0002307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2307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">
    <w:name w:val="Заголовок №1_"/>
    <w:basedOn w:val="a0"/>
    <w:link w:val="10"/>
    <w:rsid w:val="0002307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0230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singl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02307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sid w:val="0002307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rsid w:val="000230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ной текст (3)"/>
    <w:basedOn w:val="3"/>
    <w:rsid w:val="000230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2307C"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2307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307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rsid w:val="0002307C"/>
    <w:pPr>
      <w:widowControl w:val="0"/>
      <w:shd w:val="clear" w:color="auto" w:fill="FFFFFF"/>
      <w:spacing w:after="0" w:line="341" w:lineRule="exac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rsid w:val="0002307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50">
    <w:name w:val="Основной текст (5)"/>
    <w:basedOn w:val="a"/>
    <w:link w:val="5"/>
    <w:rsid w:val="0002307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Масловская Светлана Валерьевна</dc:creator>
  <cp:lastModifiedBy>Горячева Ольга Николаевна</cp:lastModifiedBy>
  <cp:revision>2</cp:revision>
  <dcterms:created xsi:type="dcterms:W3CDTF">2025-12-10T07:40:00Z</dcterms:created>
  <dcterms:modified xsi:type="dcterms:W3CDTF">2025-12-10T07:40:00Z</dcterms:modified>
</cp:coreProperties>
</file>